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43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right="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Нефтеюганск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628309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Лапшина Геннадия Алексеевича, </w:t>
      </w:r>
      <w:r>
        <w:rPr>
          <w:rStyle w:val="cat-PassportDatagrp-40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Ламор-Югра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зарегистрированного и </w:t>
      </w:r>
      <w:r>
        <w:rPr>
          <w:rStyle w:val="cat-PassportDatagrp-41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53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5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Лапшин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Ламор-Югра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зарегистрированной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Пр-д 6П, стр. 45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пп.5 п. 2,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01.04.1996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  <w:sz w:val="26"/>
          <w:szCs w:val="26"/>
        </w:rPr>
        <w:t>, несвоевременно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 -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ПУ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ЕФС-1 раздел 1, подраздел 1.1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(ГПД)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вышеназванной нормой данная отчетность должна быть представлена в случае </w:t>
      </w:r>
      <w:r>
        <w:rPr>
          <w:rFonts w:ascii="Times New Roman" w:eastAsia="Times New Roman" w:hAnsi="Times New Roman" w:cs="Times New Roman"/>
          <w:sz w:val="26"/>
          <w:szCs w:val="26"/>
        </w:rPr>
        <w:t>заключения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договора не позднее рабочего дня, следующего за днем его </w:t>
      </w:r>
      <w:r>
        <w:rPr>
          <w:rFonts w:ascii="Times New Roman" w:eastAsia="Times New Roman" w:hAnsi="Times New Roman" w:cs="Times New Roman"/>
          <w:sz w:val="26"/>
          <w:szCs w:val="26"/>
        </w:rPr>
        <w:t>заключения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01.09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сведения представлены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.10.2023.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Лапшин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о причинах неявки суд не уведомил, ходатайств об отложении дела от не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п.6 постановления Пленума ВС РФ от 24.03.2005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 «О некоторых вопросах, возникающих у судов при применении КоАП РФ» и п. 14 постановления Пленума ВС РФ от 27.12.2007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Лапшина Г.А</w:t>
      </w:r>
      <w:r>
        <w:rPr>
          <w:rFonts w:ascii="Times New Roman" w:eastAsia="Times New Roman" w:hAnsi="Times New Roman" w:cs="Times New Roman"/>
          <w:sz w:val="26"/>
          <w:szCs w:val="26"/>
        </w:rPr>
        <w:t>. в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Лапшина Г.А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генеральный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Лапшин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представил с нарушением установленного законодательством Российской Федерации срока 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ПУ по форме ЕФС-1 раздел 1, подраздел 1.1 (ГПД)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выпиской из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ЕГРЮЛ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Ламор-Югра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информацией по должностному лицу организации;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отчета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ЕФС-1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обращением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02.11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извещением о доставке,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выпиской из журнала телефонограмм, факсограмм и электронных сообщений, </w:t>
      </w:r>
      <w:r>
        <w:rPr>
          <w:rFonts w:ascii="Times New Roman" w:eastAsia="Times New Roman" w:hAnsi="Times New Roman" w:cs="Times New Roman"/>
          <w:sz w:val="26"/>
          <w:szCs w:val="26"/>
        </w:rPr>
        <w:t>списком внутренних почтовых отправлений,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отчетом об отслеживании отправления с почтовым идентификатором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акт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от </w:t>
      </w:r>
      <w:r>
        <w:rPr>
          <w:rFonts w:ascii="Times New Roman" w:eastAsia="Times New Roman" w:hAnsi="Times New Roman" w:cs="Times New Roman"/>
          <w:sz w:val="26"/>
          <w:szCs w:val="26"/>
        </w:rPr>
        <w:t>01.11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 правонарушении;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№ </w:t>
      </w:r>
      <w:r>
        <w:rPr>
          <w:rStyle w:val="cat-UserDefinedgrp-57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13.07.2023 о привлечении Лапшина Г.А. по ч. 1. ст. 15.33.1 КоАП РФ;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выпиской из ПК «Мировые судьи» о привлечении Лапшина Г.А. к административной ответственности по гл. 15 КоАП РФ.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силу пп. 5 п. 2 и п. 6 ст. 11 </w:t>
      </w:r>
      <w:r>
        <w:rPr>
          <w:rFonts w:ascii="Times New Roman" w:eastAsia="Times New Roman" w:hAnsi="Times New Roman" w:cs="Times New Roman"/>
          <w:sz w:val="25"/>
          <w:szCs w:val="25"/>
        </w:rPr>
        <w:t>Федерального Закона от 01.04.1996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страхователь обязан в установленный срок представлять органам Пенсионного фонда Российской Федерации следующие сведения: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договорам, сведения, предусмотренные ч.4 ст.9 Федерального закона «О дополнительных страховых взносах на накопительную пенсию и государственной поддержке формирования пенсионных накоплений».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п. 6 ст. 11 Федерального закона от 01.04.1996 № 27-ФЗ форма ЕФС – 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нарушение вышеуказанных норм, </w:t>
      </w:r>
      <w:r>
        <w:rPr>
          <w:rFonts w:ascii="Times New Roman" w:eastAsia="Times New Roman" w:hAnsi="Times New Roman" w:cs="Times New Roman"/>
          <w:sz w:val="26"/>
          <w:szCs w:val="26"/>
        </w:rPr>
        <w:t>Лапшин Г.А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в установленные сроки не предоставил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 ПУ по форме ЕФС-1 раздел 1, подраздел 1.1 (ГПД)</w:t>
      </w:r>
      <w:r>
        <w:rPr>
          <w:rFonts w:ascii="Times New Roman" w:eastAsia="Times New Roman" w:hAnsi="Times New Roman" w:cs="Times New Roman"/>
          <w:sz w:val="25"/>
          <w:szCs w:val="25"/>
        </w:rPr>
        <w:t>. Данны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представлен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страхователем по телекоммуникационным каналам связи </w:t>
      </w:r>
      <w:r>
        <w:rPr>
          <w:rFonts w:ascii="Times New Roman" w:eastAsia="Times New Roman" w:hAnsi="Times New Roman" w:cs="Times New Roman"/>
          <w:sz w:val="25"/>
          <w:szCs w:val="25"/>
        </w:rPr>
        <w:t>31.10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Статьей 2.4 Кодекса Российской Федерации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Лапшина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15.33.2 Кодекса Российской Федерации об административных правонарушениях, как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 равно представление таких сведений в неполном объеме,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случаев,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предусмотренных частью 2 настоящей статьи.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правонарушения, личность лица, привлекаемого к административной ответственности, его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ст. 4.2 Кодекса Российской Федерации об административных правонарушениях, мировой судья не усматривает.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«Ламор-Югра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пшина Геннадия Алексеевича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15.33.2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четыреста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по реквизитам: наименование получателя платежа - УФК ПО Ханты-Мансийскому автономному округу - Югре (ОСФР по ХМАО - Югре, л/с 04874Ф87010) ИНН получателя платежа - 8601002078 КПП получателя платежа – 860101001 Счет получателя платежа (номер казначейского счета, Р/счет) - 03100643000000018700; Номер счета банка получателя (номер банковского счета, входящего в состав единого казначейского счета, Кор/счет) – 40102810245370000007 Наименование банка получателя — РКЦ Ханты-Мансийск//УФК по Ханты-Мансийскому автономному округу - Югре г. Ханты-Мансийск БИК ТОФК - 007162163 ОКТМО 71 874 000 (г.Нефтеюганск), ОКТМО 71 818 000 (Нефтеюганский район), ОКТМО 71885000 (Пыть-Ях), КБК 797116012300600001140 УИН 7970270000000004</w:t>
      </w:r>
      <w:r>
        <w:rPr>
          <w:rFonts w:ascii="Times New Roman" w:eastAsia="Times New Roman" w:hAnsi="Times New Roman" w:cs="Times New Roman"/>
          <w:sz w:val="26"/>
          <w:szCs w:val="26"/>
        </w:rPr>
        <w:t>2454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за неуплату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6570"/>
        </w:tabs>
        <w:spacing w:before="0" w:after="0"/>
        <w:ind w:left="1560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Р.В. Агзямова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1276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65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5"/>
        <w:gridCol w:w="5660"/>
      </w:tblGrid>
      <w:tr>
        <w:tblPrEx>
          <w:tblW w:w="1046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1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PassportDatagrp-40rplc-6">
    <w:name w:val="cat-PassportData grp-40 rplc-6"/>
    <w:basedOn w:val="DefaultParagraphFont"/>
  </w:style>
  <w:style w:type="character" w:customStyle="1" w:styleId="cat-UserDefinedgrp-55rplc-7">
    <w:name w:val="cat-UserDefined grp-55 rplc-7"/>
    <w:basedOn w:val="DefaultParagraphFont"/>
  </w:style>
  <w:style w:type="character" w:customStyle="1" w:styleId="cat-PassportDatagrp-41rplc-10">
    <w:name w:val="cat-PassportData grp-41 rplc-10"/>
    <w:basedOn w:val="DefaultParagraphFont"/>
  </w:style>
  <w:style w:type="character" w:customStyle="1" w:styleId="cat-ExternalSystemDefinedgrp-53rplc-11">
    <w:name w:val="cat-ExternalSystemDefined grp-53 rplc-11"/>
    <w:basedOn w:val="DefaultParagraphFont"/>
  </w:style>
  <w:style w:type="character" w:customStyle="1" w:styleId="cat-ExternalSystemDefinedgrp-54rplc-12">
    <w:name w:val="cat-ExternalSystemDefined grp-54 rplc-12"/>
    <w:basedOn w:val="DefaultParagraphFont"/>
  </w:style>
  <w:style w:type="character" w:customStyle="1" w:styleId="cat-UserDefinedgrp-56rplc-25">
    <w:name w:val="cat-UserDefined grp-56 rplc-25"/>
    <w:basedOn w:val="DefaultParagraphFont"/>
  </w:style>
  <w:style w:type="character" w:customStyle="1" w:styleId="cat-UserDefinedgrp-57rplc-32">
    <w:name w:val="cat-UserDefined grp-57 rplc-32"/>
    <w:basedOn w:val="DefaultParagraphFont"/>
  </w:style>
  <w:style w:type="character" w:customStyle="1" w:styleId="cat-UserDefinedgrp-58rplc-57">
    <w:name w:val="cat-UserDefined grp-58 rplc-57"/>
    <w:basedOn w:val="DefaultParagraphFont"/>
  </w:style>
  <w:style w:type="character" w:customStyle="1" w:styleId="cat-UserDefinedgrp-59rplc-60">
    <w:name w:val="cat-UserDefined grp-59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